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3E934" w14:textId="77777777" w:rsidR="008B4CBC" w:rsidRDefault="008B4CBC" w:rsidP="008B4CBC">
      <w:pPr>
        <w:pStyle w:val="F2-zkladn"/>
        <w:spacing w:line="276" w:lineRule="auto"/>
        <w:rPr>
          <w:b/>
          <w:sz w:val="28"/>
          <w:szCs w:val="28"/>
        </w:rPr>
      </w:pPr>
      <w:r>
        <w:rPr>
          <w:b/>
          <w:sz w:val="28"/>
          <w:szCs w:val="28"/>
        </w:rPr>
        <w:t>TISKOVÁ ZPRÁVA</w:t>
      </w:r>
    </w:p>
    <w:p w14:paraId="6A51F8D5" w14:textId="7AB34696" w:rsidR="008B4CBC" w:rsidRPr="00AC3268" w:rsidRDefault="008B4CBC" w:rsidP="00AC3268">
      <w:pPr>
        <w:pStyle w:val="F2-zkladn"/>
        <w:spacing w:line="276" w:lineRule="auto"/>
        <w:jc w:val="right"/>
        <w:rPr>
          <w:b/>
          <w:sz w:val="28"/>
          <w:szCs w:val="28"/>
        </w:rPr>
      </w:pPr>
      <w:r w:rsidRPr="00455A3C">
        <w:tab/>
      </w:r>
      <w:r w:rsidRPr="00893890">
        <w:t>Praha,</w:t>
      </w:r>
      <w:r>
        <w:t xml:space="preserve"> </w:t>
      </w:r>
      <w:r>
        <w:t>20</w:t>
      </w:r>
      <w:r>
        <w:t xml:space="preserve">. </w:t>
      </w:r>
      <w:r>
        <w:t>března</w:t>
      </w:r>
      <w:r>
        <w:t xml:space="preserve"> </w:t>
      </w:r>
      <w:r w:rsidRPr="00893890">
        <w:t>202</w:t>
      </w:r>
      <w:r>
        <w:t>6</w:t>
      </w:r>
    </w:p>
    <w:p w14:paraId="57F92BA4" w14:textId="13381A34" w:rsidR="002127C7" w:rsidRPr="002C3975" w:rsidRDefault="005B2594" w:rsidP="00321602">
      <w:pPr>
        <w:spacing w:line="360" w:lineRule="auto"/>
      </w:pPr>
      <w:r w:rsidRPr="005B2594">
        <w:rPr>
          <w:b/>
          <w:bCs/>
          <w:kern w:val="28"/>
          <w:sz w:val="28"/>
          <w:szCs w:val="28"/>
        </w:rPr>
        <w:t>Opatrný Fed se orientuje i v nejistém období, výhled sazeb zůstává nejasný</w:t>
      </w:r>
      <w:r w:rsidRPr="005B2594">
        <w:rPr>
          <w:b/>
          <w:bCs/>
          <w:kern w:val="28"/>
          <w:sz w:val="28"/>
          <w:szCs w:val="28"/>
        </w:rPr>
        <w:br/>
      </w:r>
    </w:p>
    <w:p w14:paraId="3919CE8C" w14:textId="77777777" w:rsidR="005B2594" w:rsidRPr="00EF4E2A" w:rsidRDefault="005B2594" w:rsidP="005B2594">
      <w:r w:rsidRPr="00EF4E2A">
        <w:rPr>
          <w:i/>
          <w:iCs/>
        </w:rPr>
        <w:t>Max Stainton, seniorní globální makro stratég Fidelity International, komentuje dnešní rozhodnutí FOMC:</w:t>
      </w:r>
    </w:p>
    <w:p w14:paraId="2E1597D1" w14:textId="77777777" w:rsidR="005B2594" w:rsidRPr="00A23760" w:rsidRDefault="005B2594" w:rsidP="005B2594">
      <w:r w:rsidRPr="00EF4E2A">
        <w:t xml:space="preserve">Americká centrální banka ponechala úrokové sazby beze změny, v souladu s očekáváním trhu, a udržela cílové pásmo pro sazbu federálních </w:t>
      </w:r>
      <w:r w:rsidRPr="00A23760">
        <w:t>fondů na úrovni 3,5–3,75 %. Ve svém doprovodném prohlášení výbor FOMC jasně uvedl, že geopolitická rizika přidávají další vrstvu nejistoty na obě strany mandátu, ale jinak se konsenzuálně laděné prohlášení změnilo jen minimálně.</w:t>
      </w:r>
    </w:p>
    <w:p w14:paraId="0D6E074B" w14:textId="77777777" w:rsidR="005B2594" w:rsidRPr="00A23760" w:rsidRDefault="005B2594" w:rsidP="005B2594">
      <w:r w:rsidRPr="00A23760">
        <w:t>Právě minimální změny byly hlavním motivem zasedání. Výbor mírně zvýšil očekávání jádrové inflace, a to o 20 bazických bodů, což se však nepromítlo do očekávané trajektorie úrokových sazeb, a výsledek proto vyzněl mírně holubičím dojmem. Na druhou stranu posun k jedinému holubičímu nesouhlasnému hlasu, namísto dvou či tří, které se čekaly, dodal rozhodnutí lehce jestřábí tón. Celkově tak Fed působí jako instituce svázaná nejistotou a vyčkávající, jak se bude dále vyvíjet situace na Blízkém východě.</w:t>
      </w:r>
    </w:p>
    <w:p w14:paraId="511A7DF8" w14:textId="77777777" w:rsidR="005B2594" w:rsidRPr="00EF4E2A" w:rsidRDefault="005B2594" w:rsidP="005B2594">
      <w:r w:rsidRPr="00EF4E2A">
        <w:t>Na tiskové konferenci se předseda Fedu Jerome Powell snažil nabídnout</w:t>
      </w:r>
      <w:r>
        <w:t xml:space="preserve"> </w:t>
      </w:r>
      <w:r w:rsidRPr="00EF4E2A">
        <w:t xml:space="preserve">vodítko pro další vývoj měnové politiky. Zdůraznil, že není vhodné na aktuální události přehnaně reagovat, když uvedl, že </w:t>
      </w:r>
      <w:r w:rsidRPr="00EF4E2A">
        <w:rPr>
          <w:b/>
          <w:bCs/>
        </w:rPr>
        <w:t>„</w:t>
      </w:r>
      <w:r w:rsidRPr="00A23760">
        <w:t>je příliš brzy na to, abychom věděli, jak se to promítne do dat“, a o</w:t>
      </w:r>
      <w:r w:rsidRPr="00EF4E2A">
        <w:t>pakovaně poukazoval na mimořádně vysokou míru nejistoty. Místo toho kladl důraz na udržení důvěryhodnosti Fedu v boji s inflací, zejména optikou inflačních očekávání. Powell také jasně řekl, že výbor je komfortní s přístupem „počkat a uvidíme“, dokud se neukáže dopad konfliktu, přičemž větší váhu přikládá potřebě výraznějšího zpomalení inflace u zboží v průběhu letošního roku. Výslovně uvedl, že jakýkoli sklon ke snižování sazeb zůstává podmíněn tím, že takový pokrok skutečně nastane.</w:t>
      </w:r>
    </w:p>
    <w:p w14:paraId="005F7601" w14:textId="77777777" w:rsidR="005B2594" w:rsidRPr="00EF4E2A" w:rsidRDefault="005B2594" w:rsidP="005B2594">
      <w:r w:rsidRPr="00EF4E2A">
        <w:t>Pokud jde o výhled sazeb na zbytek roku, ten bude podle očekávání ve velké míře určován dalším vývojem na Blízkém východě. V základním scénáři</w:t>
      </w:r>
      <w:r>
        <w:t xml:space="preserve"> Fidelity International</w:t>
      </w:r>
      <w:r w:rsidRPr="00EF4E2A">
        <w:t xml:space="preserve">, v němž ceny ropy zůstanou zvýšené, ale budou se pohybovat v </w:t>
      </w:r>
      <w:r w:rsidRPr="00A23760">
        <w:t>pásmu 90 až 110 dolarů za barel, očekáváme, že Fed ponechá sazby déle beze změny a že laťka pro brzké uvolnění měnové politiky se posune výše. Zároveň si ale nemyslíme, že</w:t>
      </w:r>
      <w:r w:rsidRPr="00EF4E2A">
        <w:t xml:space="preserve"> by toto prostředí samo o sobě stačilo k obnovení cyklu zpřísňování politiky, protože negativní dopad na růst by měl zůstat zvládnutelný a šok by měl mít spíše jednorázový cenový efekt než široce proinflační charakter.</w:t>
      </w:r>
    </w:p>
    <w:p w14:paraId="693EAED8" w14:textId="77777777" w:rsidR="005B2594" w:rsidRPr="00EF4E2A" w:rsidRDefault="005B2594" w:rsidP="005B2594">
      <w:r w:rsidRPr="00EF4E2A">
        <w:t xml:space="preserve">Naopak posun do rizikového scénáře, v němž by ceny ropy vystoupaly nad </w:t>
      </w:r>
      <w:r w:rsidRPr="00A23760">
        <w:t>120 dolarů za barel — což je významné, i když okrajové riziko, jehož pravděpodobnost nyní roste — by vytvořil podstatně komplikovanější prostředí pro měnov</w:t>
      </w:r>
      <w:r w:rsidRPr="00EF4E2A">
        <w:t>ou politiku. Takto trvalý růst cen ropy by podpořil delší období vyšších sazeb, zvlášť pokud by spolu s vyššími cenami pohonných hmot začaly znovu zrychlovat ceny dopravy a širšího okruhu zboží. Zároveň bychom ale očekávali, že střednědobý výhled sazeb přestane být tak přímočarý, protože hlubší energetický šok by zvýšil riziko destrukce poptávky a později během roku i recese.</w:t>
      </w:r>
    </w:p>
    <w:p w14:paraId="24C6944D" w14:textId="77777777" w:rsidR="005B2594" w:rsidRPr="00A23760" w:rsidRDefault="005B2594" w:rsidP="005B2594">
      <w:r>
        <w:lastRenderedPageBreak/>
        <w:t>„</w:t>
      </w:r>
      <w:r w:rsidRPr="00A23760">
        <w:rPr>
          <w:i/>
          <w:iCs/>
        </w:rPr>
        <w:t>Celkově tedy platí, že pokud se naplní náš základní scénář, stále očekáváme, že Fed letos přistoupí k jednomu až dvěma snížením sazeb. Je však třeba dodat, že situace na Blízkém východě se rychle mění a dnešní zásah íránské energetické infrastruktury už naznačuje další eskalaci. Pokud by tento trend přetrval, šance na letošní snížení sazeb by se téměř jistě vytratila,“</w:t>
      </w:r>
      <w:r>
        <w:t xml:space="preserve"> </w:t>
      </w:r>
      <w:r w:rsidRPr="00A23760">
        <w:t>Max Stainton, seniorní globální makro stratég Fidelity International.</w:t>
      </w:r>
    </w:p>
    <w:p w14:paraId="71340B30" w14:textId="77777777" w:rsidR="005B2594" w:rsidRDefault="005B2594" w:rsidP="005B2594"/>
    <w:p w14:paraId="3EE095C8" w14:textId="77777777" w:rsidR="00362096" w:rsidRPr="003B4C8C" w:rsidRDefault="00362096" w:rsidP="00362096">
      <w:r w:rsidRPr="003B4C8C">
        <w:rPr>
          <w:b/>
          <w:bCs/>
        </w:rPr>
        <w:t>Pro více informací kontaktujte:</w:t>
      </w:r>
    </w:p>
    <w:p w14:paraId="48DEF66B" w14:textId="77777777" w:rsidR="00362096" w:rsidRPr="003B4C8C" w:rsidRDefault="00362096" w:rsidP="00362096">
      <w:r w:rsidRPr="003B4C8C">
        <w:rPr>
          <w:b/>
          <w:bCs/>
        </w:rPr>
        <w:t>Eliška Krohová</w:t>
      </w:r>
    </w:p>
    <w:p w14:paraId="2CA03BC4" w14:textId="77777777" w:rsidR="00362096" w:rsidRPr="003B4C8C" w:rsidRDefault="00362096" w:rsidP="00362096">
      <w:r w:rsidRPr="003B4C8C">
        <w:rPr>
          <w:b/>
          <w:bCs/>
        </w:rPr>
        <w:t>Crest Communications, a.s.</w:t>
      </w:r>
    </w:p>
    <w:p w14:paraId="1A21A054" w14:textId="77777777" w:rsidR="00362096" w:rsidRPr="003B4C8C" w:rsidRDefault="00362096" w:rsidP="00362096">
      <w:r w:rsidRPr="003B4C8C">
        <w:t>Ostrovní 126/30</w:t>
      </w:r>
    </w:p>
    <w:p w14:paraId="17106CFE" w14:textId="77777777" w:rsidR="00362096" w:rsidRPr="003B4C8C" w:rsidRDefault="00362096" w:rsidP="00362096">
      <w:r w:rsidRPr="003B4C8C">
        <w:t>110 00 Praha 1</w:t>
      </w:r>
    </w:p>
    <w:p w14:paraId="6C3201C5" w14:textId="77777777" w:rsidR="00362096" w:rsidRPr="003B4C8C" w:rsidRDefault="00362096" w:rsidP="00362096">
      <w:r w:rsidRPr="003B4C8C">
        <w:t>gsm: + 420 720 406 659</w:t>
      </w:r>
    </w:p>
    <w:p w14:paraId="557AD6EE" w14:textId="77777777" w:rsidR="00362096" w:rsidRPr="003B4C8C" w:rsidRDefault="00362096" w:rsidP="00362096">
      <w:r w:rsidRPr="003B4C8C">
        <w:t>e-mail: </w:t>
      </w:r>
      <w:hyperlink r:id="rId11" w:tgtFrame="_blank" w:history="1">
        <w:r w:rsidRPr="003B4C8C">
          <w:rPr>
            <w:rStyle w:val="Hypertextovodkaz"/>
          </w:rPr>
          <w:t>eliska.krohova@crestcom.cz</w:t>
        </w:r>
      </w:hyperlink>
    </w:p>
    <w:p w14:paraId="649445BF" w14:textId="77777777" w:rsidR="00362096" w:rsidRPr="003B4C8C" w:rsidRDefault="00362096" w:rsidP="00362096">
      <w:r w:rsidRPr="003B4C8C">
        <w:rPr>
          <w:b/>
          <w:bCs/>
        </w:rPr>
        <w:t>Informace pro editory:</w:t>
      </w:r>
    </w:p>
    <w:p w14:paraId="27448FB3" w14:textId="77777777" w:rsidR="00362096" w:rsidRPr="003B4C8C" w:rsidRDefault="00362096" w:rsidP="00362096">
      <w:r w:rsidRPr="003B4C8C">
        <w:rPr>
          <w:b/>
          <w:bCs/>
        </w:rPr>
        <w:t>Fidelity International </w:t>
      </w:r>
      <w:r w:rsidRPr="003B4C8C">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0C497B4E" w14:textId="77777777" w:rsidR="00362096" w:rsidRPr="003B4C8C" w:rsidRDefault="00362096" w:rsidP="00362096">
      <w:r w:rsidRPr="003B4C8C">
        <w:rPr>
          <w:b/>
          <w:bCs/>
        </w:rPr>
        <w:t>Důležité upozornění</w:t>
      </w:r>
    </w:p>
    <w:p w14:paraId="7A0C186E" w14:textId="77777777" w:rsidR="00362096" w:rsidRPr="003B4C8C" w:rsidRDefault="00362096" w:rsidP="00362096">
      <w:r w:rsidRPr="003B4C8C">
        <w:t>Toto je propagační materiál. Tento dokument nesmí být bez předchozího souhlasu rozmnožován nebo rozšiřován.</w:t>
      </w:r>
    </w:p>
    <w:p w14:paraId="3D121D89" w14:textId="77777777" w:rsidR="00362096" w:rsidRPr="003B4C8C" w:rsidRDefault="00362096" w:rsidP="00362096">
      <w:r w:rsidRPr="003B4C8C">
        <w:t>Fidelity International poskytuje informace pouze o svých produktech a neposkytuje investiční poradenství na základě individuálních potřeb, jinak než konkrétně řádně stanovené oprávněnou společností při formální komunikaci s klientem.</w:t>
      </w:r>
    </w:p>
    <w:p w14:paraId="7B03E80F" w14:textId="77777777" w:rsidR="00362096" w:rsidRPr="003B4C8C" w:rsidRDefault="00362096" w:rsidP="00362096">
      <w:r w:rsidRPr="003B4C8C">
        <w:t xml:space="preserve">Jako Fidelity International je označována skupina společností, které tvoří globální organizaci správy investic poskytující informace o produktech a službách v určených jurisdikcích mimo Severní Ameriku. </w:t>
      </w:r>
      <w:r w:rsidRPr="003B4C8C">
        <w:lastRenderedPageBreak/>
        <w:t>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5FEA78BD" w14:textId="77777777" w:rsidR="00362096" w:rsidRPr="003B4C8C" w:rsidRDefault="00362096" w:rsidP="00362096">
      <w:r w:rsidRPr="003B4C8C">
        <w:t>Všechny názory představují stanoviska společnosti Fidelity, není-li uvedeno jinak. Fidelity, Fidelity International a logo Fidelity International a symbol měny F jsou všechno ochrannými známkami společnosti FIL Limited.</w:t>
      </w:r>
    </w:p>
    <w:p w14:paraId="4126DD13" w14:textId="77777777" w:rsidR="00362096" w:rsidRPr="003B4C8C" w:rsidRDefault="00362096" w:rsidP="00362096">
      <w:r w:rsidRPr="003B4C8C">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0AFC09C2" w14:textId="77777777" w:rsidR="00362096" w:rsidRPr="003B4C8C" w:rsidRDefault="00362096" w:rsidP="00362096">
      <w:r w:rsidRPr="003B4C8C">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020F0184" w14:textId="77777777" w:rsidR="00362096" w:rsidRPr="003B4C8C" w:rsidRDefault="00362096" w:rsidP="00362096">
      <w:r w:rsidRPr="003B4C8C">
        <w:t>Minulá výkonnost není spolehlivým ukazatelem budoucích výsledků.</w:t>
      </w:r>
    </w:p>
    <w:p w14:paraId="14B9D49C" w14:textId="77777777" w:rsidR="00362096" w:rsidRPr="003B4C8C" w:rsidRDefault="00362096" w:rsidP="00362096">
      <w:r w:rsidRPr="003B4C8C">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381E2C3B" w14:textId="77777777" w:rsidR="00362096" w:rsidRPr="003B4C8C" w:rsidRDefault="00362096" w:rsidP="00362096">
      <w:r w:rsidRPr="003B4C8C">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w:t>
      </w:r>
      <w:hyperlink r:id="rId12" w:tgtFrame="_blank" w:history="1">
        <w:r w:rsidRPr="003B4C8C">
          <w:rPr>
            <w:rStyle w:val="Hypertextovodkaz"/>
          </w:rPr>
          <w:t>https://www.fidelityinternational.com</w:t>
        </w:r>
      </w:hyperlink>
      <w:r w:rsidRPr="003B4C8C">
        <w:t> nebo od našich distributořů a našeho evropského Centra služeb v Lucembursku, sídlící na adrese FIL (Luxembourg) S.A. 2a, rue Albert Borschette BP 2174 L-1021 Luxembourg.</w:t>
      </w:r>
    </w:p>
    <w:p w14:paraId="7893AFD1" w14:textId="77777777" w:rsidR="00362096" w:rsidRPr="003B4C8C" w:rsidRDefault="00362096" w:rsidP="00362096">
      <w:r w:rsidRPr="003B4C8C">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54CCE3B4" w14:textId="77777777" w:rsidR="00362096" w:rsidRPr="003B4C8C" w:rsidRDefault="00362096" w:rsidP="00362096">
      <w:r w:rsidRPr="003B4C8C">
        <w:t>Investoři a potenciální investoři mohou získat informace o svých právech ve spojení se stížnostmi a soudními spory na tomto odkazu: </w:t>
      </w:r>
      <w:hyperlink r:id="rId13" w:tgtFrame="_blank" w:history="1">
        <w:r w:rsidRPr="003B4C8C">
          <w:rPr>
            <w:rStyle w:val="Hypertextovodkaz"/>
          </w:rPr>
          <w:t>https://www.fidelity.cz</w:t>
        </w:r>
      </w:hyperlink>
      <w:r w:rsidRPr="003B4C8C">
        <w:t> (v češtině).</w:t>
      </w:r>
    </w:p>
    <w:p w14:paraId="5348571E" w14:textId="77777777" w:rsidR="00362096" w:rsidRDefault="00362096" w:rsidP="00362096"/>
    <w:p w14:paraId="032496E3" w14:textId="6153B09C" w:rsidR="00D20058" w:rsidRDefault="005B2594" w:rsidP="002C3975">
      <w:pPr>
        <w:spacing w:after="160" w:line="278" w:lineRule="auto"/>
      </w:pPr>
      <w:r w:rsidRPr="005B2594">
        <w:rPr>
          <w:lang w:val="de-AT"/>
        </w:rPr>
        <w:t>MKAT 13642</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750C" w14:textId="77777777" w:rsidR="001C3FA2" w:rsidRDefault="001C3FA2">
      <w:r>
        <w:separator/>
      </w:r>
    </w:p>
  </w:endnote>
  <w:endnote w:type="continuationSeparator" w:id="0">
    <w:p w14:paraId="4A175DC8" w14:textId="77777777" w:rsidR="001C3FA2" w:rsidRDefault="001C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panose1 w:val="020B0600000101010101"/>
    <w:charset w:val="81"/>
    <w:family w:val="swiss"/>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31E6" w14:textId="77777777" w:rsidR="001C3FA2" w:rsidRDefault="001C3FA2">
      <w:r>
        <w:separator/>
      </w:r>
    </w:p>
  </w:footnote>
  <w:footnote w:type="continuationSeparator" w:id="0">
    <w:p w14:paraId="34914454" w14:textId="77777777" w:rsidR="001C3FA2" w:rsidRDefault="001C3FA2">
      <w:r>
        <w:continuationSeparator/>
      </w:r>
    </w:p>
  </w:footnote>
  <w:footnote w:type="continuationNotice" w:id="1">
    <w:p w14:paraId="7771D44F" w14:textId="77777777" w:rsidR="001C3FA2" w:rsidRDefault="001C3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8"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0"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8"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39"/>
  </w:num>
  <w:num w:numId="3" w16cid:durableId="1213884590">
    <w:abstractNumId w:val="46"/>
  </w:num>
  <w:num w:numId="4" w16cid:durableId="249312893">
    <w:abstractNumId w:val="24"/>
  </w:num>
  <w:num w:numId="5" w16cid:durableId="315694586">
    <w:abstractNumId w:val="26"/>
  </w:num>
  <w:num w:numId="6" w16cid:durableId="108403674">
    <w:abstractNumId w:val="22"/>
  </w:num>
  <w:num w:numId="7" w16cid:durableId="604575006">
    <w:abstractNumId w:val="44"/>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7"/>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3"/>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8"/>
  </w:num>
  <w:num w:numId="32" w16cid:durableId="1570068625">
    <w:abstractNumId w:val="47"/>
  </w:num>
  <w:num w:numId="33" w16cid:durableId="280261214">
    <w:abstractNumId w:val="33"/>
  </w:num>
  <w:num w:numId="34" w16cid:durableId="1755005586">
    <w:abstractNumId w:val="45"/>
  </w:num>
  <w:num w:numId="35" w16cid:durableId="975062918">
    <w:abstractNumId w:val="49"/>
  </w:num>
  <w:num w:numId="36" w16cid:durableId="65340861">
    <w:abstractNumId w:val="15"/>
  </w:num>
  <w:num w:numId="37" w16cid:durableId="369651298">
    <w:abstractNumId w:val="42"/>
  </w:num>
  <w:num w:numId="38" w16cid:durableId="561336543">
    <w:abstractNumId w:val="17"/>
  </w:num>
  <w:num w:numId="39" w16cid:durableId="993333316">
    <w:abstractNumId w:val="31"/>
  </w:num>
  <w:num w:numId="40" w16cid:durableId="945430004">
    <w:abstractNumId w:val="40"/>
  </w:num>
  <w:num w:numId="41" w16cid:durableId="1123378030">
    <w:abstractNumId w:val="48"/>
  </w:num>
  <w:num w:numId="42" w16cid:durableId="2118477175">
    <w:abstractNumId w:val="28"/>
  </w:num>
  <w:num w:numId="43" w16cid:durableId="1760370648">
    <w:abstractNumId w:val="41"/>
  </w:num>
  <w:num w:numId="44" w16cid:durableId="624894503">
    <w:abstractNumId w:val="19"/>
  </w:num>
  <w:num w:numId="45" w16cid:durableId="868492869">
    <w:abstractNumId w:val="50"/>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1"/>
  </w:num>
  <w:num w:numId="52" w16cid:durableId="406348410">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3232"/>
    <w:rsid w:val="00016492"/>
    <w:rsid w:val="00017E0A"/>
    <w:rsid w:val="00020F03"/>
    <w:rsid w:val="00021D97"/>
    <w:rsid w:val="0002277D"/>
    <w:rsid w:val="000237A9"/>
    <w:rsid w:val="00026B23"/>
    <w:rsid w:val="00026F85"/>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20E5"/>
    <w:rsid w:val="000A2833"/>
    <w:rsid w:val="000A2D6F"/>
    <w:rsid w:val="000A3FFF"/>
    <w:rsid w:val="000A572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B94"/>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3FA2"/>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F1241"/>
    <w:rsid w:val="001F1A22"/>
    <w:rsid w:val="001F1ACC"/>
    <w:rsid w:val="001F297A"/>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3975"/>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400E"/>
    <w:rsid w:val="003172DF"/>
    <w:rsid w:val="003177AF"/>
    <w:rsid w:val="00317BF7"/>
    <w:rsid w:val="00320015"/>
    <w:rsid w:val="00321602"/>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2096"/>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66DB"/>
    <w:rsid w:val="004D79D4"/>
    <w:rsid w:val="004E0978"/>
    <w:rsid w:val="004E14D9"/>
    <w:rsid w:val="004E1CB1"/>
    <w:rsid w:val="004E2D7E"/>
    <w:rsid w:val="004E4B6A"/>
    <w:rsid w:val="004E4ED5"/>
    <w:rsid w:val="004E6300"/>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594"/>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1F62"/>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4CBC"/>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268"/>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258A"/>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1FA2"/>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813"/>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639A"/>
    <w:rsid w:val="00C977A3"/>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1B8E"/>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5E6"/>
    <w:rsid w:val="00F849DF"/>
    <w:rsid w:val="00F8600D"/>
    <w:rsid w:val="00F8786B"/>
    <w:rsid w:val="00F90530"/>
    <w:rsid w:val="00F91D8A"/>
    <w:rsid w:val="00F93915"/>
    <w:rsid w:val="00F94304"/>
    <w:rsid w:val="00F9437B"/>
    <w:rsid w:val="00F943F5"/>
    <w:rsid w:val="00F94501"/>
    <w:rsid w:val="00F94AF9"/>
    <w:rsid w:val="00F94F1B"/>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4768"/>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ttps/www.fidel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ttps/www.fidelityinternationa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ka.krohova@crestcom.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4.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1273</Words>
  <Characters>7517</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8773</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Jana Bělochová | CrestCommunications</cp:lastModifiedBy>
  <cp:revision>4</cp:revision>
  <cp:lastPrinted>2015-11-30T16:29:00Z</cp:lastPrinted>
  <dcterms:created xsi:type="dcterms:W3CDTF">2026-03-20T10:00:00Z</dcterms:created>
  <dcterms:modified xsi:type="dcterms:W3CDTF">2026-03-20T10:01:00Z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